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D5" w:rsidRPr="008A06D5" w:rsidRDefault="008A06D5" w:rsidP="008A06D5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OFICIO Nº 022778</w:t>
      </w:r>
    </w:p>
    <w:p w:rsidR="008A06D5" w:rsidRPr="008A06D5" w:rsidRDefault="008A06D5" w:rsidP="008A06D5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24-08-2016</w:t>
      </w:r>
    </w:p>
    <w:p w:rsidR="008A06D5" w:rsidRPr="008A06D5" w:rsidRDefault="008A06D5" w:rsidP="008A06D5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color w:val="0000FF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color w:val="0000FF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Subdirección de Gestión Normativa y Doctrina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Bogotá, D. C.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100208221-000810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Señor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RICARDO PUYO BUSTAMANTE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Carrera 43 A # 9 Sur – 91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Centro de Negocios Las Villas Oficinas 905-06 Torre Sur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Medellín – Antioquia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Referencia: </w:t>
      </w:r>
      <w:r w:rsidRPr="008A06D5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Radicado número 000278 del 13 de julio de 2016.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Tema</w:t>
      </w:r>
      <w:r w:rsidRPr="008A06D5">
        <w:rPr>
          <w:rFonts w:ascii="Segoe UI" w:eastAsia="Times New Roman" w:hAnsi="Segoe UI" w:cs="Segoe UI"/>
          <w:sz w:val="18"/>
          <w:szCs w:val="18"/>
          <w:lang w:eastAsia="es-CO"/>
        </w:rPr>
        <w:t> Impuesto sobre la Renta y Complementarios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Descriptores</w:t>
      </w:r>
      <w:r w:rsidRPr="008A06D5">
        <w:rPr>
          <w:rFonts w:ascii="Segoe UI" w:eastAsia="Times New Roman" w:hAnsi="Segoe UI" w:cs="Segoe UI"/>
          <w:sz w:val="18"/>
          <w:szCs w:val="18"/>
          <w:lang w:eastAsia="es-CO"/>
        </w:rPr>
        <w:t> Determinación de Dividendos y </w:t>
      </w:r>
      <w:r w:rsidRPr="008A06D5">
        <w:rPr>
          <w:rFonts w:ascii="Segoe UI" w:eastAsia="Times New Roman" w:hAnsi="Segoe UI" w:cs="Segoe UI"/>
          <w:sz w:val="16"/>
          <w:szCs w:val="16"/>
          <w:lang w:eastAsia="es-CO"/>
        </w:rPr>
        <w:t>Participaciones, Activos</w:t>
      </w:r>
      <w:r w:rsidRPr="008A06D5">
        <w:rPr>
          <w:rFonts w:ascii="Segoe UI" w:eastAsia="Times New Roman" w:hAnsi="Segoe UI" w:cs="Segoe UI"/>
          <w:sz w:val="18"/>
          <w:szCs w:val="18"/>
          <w:lang w:eastAsia="es-CO"/>
        </w:rPr>
        <w:t>, Patrimonio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Fuentes formales</w:t>
      </w:r>
      <w:r w:rsidRPr="008A06D5">
        <w:rPr>
          <w:rFonts w:ascii="Segoe UI" w:eastAsia="Times New Roman" w:hAnsi="Segoe UI" w:cs="Segoe UI"/>
          <w:sz w:val="18"/>
          <w:szCs w:val="18"/>
          <w:lang w:eastAsia="es-CO"/>
        </w:rPr>
        <w:t> Artículos </w:t>
      </w:r>
      <w:hyperlink r:id="rId4" w:tooltip="Estatuto Tributario CETA" w:history="1">
        <w:r w:rsidRPr="008A06D5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48</w:t>
        </w:r>
      </w:hyperlink>
      <w:r w:rsidRPr="008A06D5">
        <w:rPr>
          <w:rFonts w:ascii="Segoe UI" w:eastAsia="Times New Roman" w:hAnsi="Segoe UI" w:cs="Segoe UI"/>
          <w:sz w:val="18"/>
          <w:szCs w:val="18"/>
          <w:lang w:eastAsia="es-CO"/>
        </w:rPr>
        <w:t>, </w:t>
      </w:r>
      <w:hyperlink r:id="rId5" w:tooltip="Estatuto Tributario CETA" w:history="1">
        <w:r w:rsidRPr="008A06D5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49</w:t>
        </w:r>
      </w:hyperlink>
      <w:r w:rsidRPr="008A06D5">
        <w:rPr>
          <w:rFonts w:ascii="Segoe UI" w:eastAsia="Times New Roman" w:hAnsi="Segoe UI" w:cs="Segoe UI"/>
          <w:sz w:val="18"/>
          <w:szCs w:val="18"/>
          <w:lang w:eastAsia="es-CO"/>
        </w:rPr>
        <w:t>, </w:t>
      </w:r>
      <w:hyperlink r:id="rId6" w:tooltip="Estatuto Tributario CETA" w:history="1">
        <w:r w:rsidRPr="008A06D5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792</w:t>
        </w:r>
      </w:hyperlink>
      <w:r w:rsidRPr="008A06D5">
        <w:rPr>
          <w:rFonts w:ascii="Segoe UI" w:eastAsia="Times New Roman" w:hAnsi="Segoe UI" w:cs="Segoe UI"/>
          <w:sz w:val="18"/>
          <w:szCs w:val="18"/>
          <w:lang w:eastAsia="es-CO"/>
        </w:rPr>
        <w:t>, </w:t>
      </w:r>
      <w:hyperlink r:id="rId7" w:tooltip="Estatuto Tributario CETA" w:history="1">
        <w:r w:rsidRPr="008A06D5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794</w:t>
        </w:r>
      </w:hyperlink>
      <w:r w:rsidRPr="008A06D5">
        <w:rPr>
          <w:rFonts w:ascii="Segoe UI" w:eastAsia="Times New Roman" w:hAnsi="Segoe UI" w:cs="Segoe UI"/>
          <w:sz w:val="18"/>
          <w:szCs w:val="18"/>
          <w:lang w:eastAsia="es-CO"/>
        </w:rPr>
        <w:t> y </w:t>
      </w:r>
      <w:hyperlink r:id="rId8" w:tooltip="Estatuto Tributario CETA" w:history="1">
        <w:r w:rsidRPr="008A06D5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794-1</w:t>
        </w:r>
      </w:hyperlink>
      <w:r w:rsidRPr="008A06D5">
        <w:rPr>
          <w:rFonts w:ascii="Segoe UI" w:eastAsia="Times New Roman" w:hAnsi="Segoe UI" w:cs="Segoe UI"/>
          <w:sz w:val="18"/>
          <w:szCs w:val="18"/>
          <w:lang w:eastAsia="es-CO"/>
        </w:rPr>
        <w:t> del Estatuto Tributario; Concepto número 018513 del 20 de marzo de 1998.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Cordial saludo, señor Puyo Bustamante: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De conformidad con el artículo 20 del Decreto 4048 de 2008, es función de esta Subdirección absolver las consultas escritas que se formulen sobre la interpretación y aplicación de las normas tributarias de carácter nacional, aduaneras y cambiarias en lo de competencia de la Entidad.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Del radicado de la referencia se desprenden las siguientes preguntas, las cuales se atenderán cada una a su turno, así: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1. ¿Una persona natural residente fiscal en Colombia o una sociedad nacional debe incluir como propios en sus declaraciones tributarias o en los reportes de información exigidos por la autoridad tributaria los ingresos y el patrimonio de una sociedad extranjera, de la que es socio o accionista, en virtud de la figura de la transparencia fiscal?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Sobre el particular, es menester señalar que, salvo determinados casos previstos en la ley, la figura de la transparencia fiscal es excepcional en Colombia.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Ahora bien, en lo que se refiere a la carga tributaria del socio y de la sociedad, el Estatuto Tributario – en armonía con la normativa civil y comercial – los diferencia entre sí, de tal manera que uno y otro asume, de manera independiente, las consecuencias fiscales por la percepción de ingresos, la posesión de un patrimonio o la realización de operaciones económicas.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En efecto, el </w:t>
      </w:r>
      <w:hyperlink r:id="rId9" w:tooltip="Estatuto Tributario CETA" w:history="1">
        <w:r w:rsidRPr="008A06D5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792</w:t>
        </w:r>
      </w:hyperlink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del Estatuto Tributario dispone que </w:t>
      </w:r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“[s]</w:t>
      </w:r>
      <w:proofErr w:type="spellStart"/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on</w:t>
      </w:r>
      <w:proofErr w:type="spellEnd"/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 xml:space="preserve"> contribuyentes o responsables directos del pago del tributo </w:t>
      </w:r>
      <w:r w:rsidRPr="008A06D5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los sujetos respecto de quienes se realiza el hecho generador de la obligación tributaria sustancial</w:t>
      </w:r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” </w:t>
      </w: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(negrilla fuera de texto).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lastRenderedPageBreak/>
        <w:t>Lo antepuesto, claro está, sin perjuicio de la responsabilidad solidaria de los socios por los impuestos de la sociedad (</w:t>
      </w:r>
      <w:hyperlink r:id="rId10" w:tooltip="Estatuto Tributario CETA" w:history="1">
        <w:r w:rsidRPr="008A06D5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794</w:t>
        </w:r>
      </w:hyperlink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ibídem</w:t>
      </w: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) y de la desestimación de la personalidad jurídica (</w:t>
      </w:r>
      <w:hyperlink r:id="rId11" w:tooltip="Estatuto Tributario CETA" w:history="1">
        <w:r w:rsidRPr="008A06D5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794-1</w:t>
        </w:r>
      </w:hyperlink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ibídem</w:t>
      </w: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).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Así las cosas, el residente fiscal en Colombia (persona natural o jurídica), socio o accionista de una sociedad del exterior, no debe incluir como propios los ingresos ni el patrimonio que correspondan a aquella, en las declaraciones tributarias ni en los informes requeridos por la autoridad tributaria; por el contrario, únicamente deberá informar los dividendos que perciba y las acciones que posea al respecto.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2. ¿Es aplicable el </w:t>
      </w:r>
      <w:hyperlink r:id="rId12" w:tooltip="Estatuto Tributario CETA" w:history="1">
        <w:r w:rsidRPr="008A06D5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49</w:t>
        </w:r>
      </w:hyperlink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 xml:space="preserve"> del Estatuto Tributario para determinar el dividendo o participación no </w:t>
      </w:r>
      <w:proofErr w:type="gramStart"/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gravado</w:t>
      </w:r>
      <w:proofErr w:type="gramEnd"/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 xml:space="preserve"> cuando este es distribuido por una sociedad del exterior?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De la simple lectura de los artículos </w:t>
      </w:r>
      <w:hyperlink r:id="rId13" w:tooltip="Estatuto Tributario CETA" w:history="1">
        <w:r w:rsidRPr="008A06D5">
          <w:rPr>
            <w:rFonts w:ascii="Segoe UI" w:eastAsia="Times New Roman" w:hAnsi="Segoe UI" w:cs="Segoe UI"/>
            <w:color w:val="0089E1"/>
            <w:sz w:val="22"/>
            <w:lang w:eastAsia="es-CO"/>
          </w:rPr>
          <w:t>48</w:t>
        </w:r>
      </w:hyperlink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y </w:t>
      </w:r>
      <w:hyperlink r:id="rId14" w:tooltip="Estatuto Tributario CETA" w:history="1">
        <w:r w:rsidRPr="008A06D5">
          <w:rPr>
            <w:rFonts w:ascii="Segoe UI" w:eastAsia="Times New Roman" w:hAnsi="Segoe UI" w:cs="Segoe UI"/>
            <w:color w:val="0089E1"/>
            <w:sz w:val="22"/>
            <w:lang w:eastAsia="es-CO"/>
          </w:rPr>
          <w:t>49</w:t>
        </w:r>
      </w:hyperlink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del Estatuto Tributario no se observa que la determinación de los dividendos o participaciones no gravados tan solo sea predicable de aquellos distribuidos por sociedades nacionales; empero, basta examinar el procedimiento previsto en la segunda disposición para percatarse que, en realidad, ello es así, particularmente al exigirse cifras correspondientes a </w:t>
      </w:r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 xml:space="preserve">“Renta Líquida </w:t>
      </w:r>
      <w:proofErr w:type="spellStart"/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Gravable”,“Ganancias</w:t>
      </w:r>
      <w:proofErr w:type="spellEnd"/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 xml:space="preserve"> Ocasionales Gravables”, “Impuesto Básico de Renta” </w:t>
      </w: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e </w:t>
      </w:r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“Impuesto de Ganancias Ocasionales” </w:t>
      </w: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que de suyo, solamente son verificables en el ámbito nacional.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La antepuesta aseveración se encuentra respaldada en el Concepto número 018513 del 20 de marzo de 1998, en el cual se manifestó:</w:t>
      </w:r>
    </w:p>
    <w:p w:rsidR="008A06D5" w:rsidRPr="008A06D5" w:rsidRDefault="008A06D5" w:rsidP="008A06D5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“Tratándose de dividendos y participaciones el régimen del impuesto sobre la renta los califica como no constitutivos de renta ni ganancia ocasional siempre y cuando correspondan a utilidades declaradas por la sociedad, circunstancia que pone de relieve que </w:t>
      </w:r>
      <w:r w:rsidRPr="008A06D5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el beneficio fiscal está consagrado para los dividendos y participaciones de fuente nacional y que corresponden a una medida tendiente a evitar una doble tributación en cabeza de la sociedad y del socio o partícipe</w:t>
      </w:r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.</w:t>
      </w:r>
    </w:p>
    <w:p w:rsidR="008A06D5" w:rsidRPr="008A06D5" w:rsidRDefault="008A06D5" w:rsidP="008A06D5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eastAsia="es-CO"/>
        </w:rPr>
        <w:t>Para las rentas de fuente extranjera el Estatuto Tributario establece un beneficio fiscal distinto por la vía de descuento tributario </w:t>
      </w:r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cuando dichos ingresos han sido gravados en el país de origen. El </w:t>
      </w:r>
      <w:hyperlink r:id="rId15" w:tooltip="Estatuto Tributario CETA" w:history="1">
        <w:r w:rsidRPr="008A06D5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artículo 254</w:t>
        </w:r>
      </w:hyperlink>
      <w:r w:rsidRPr="008A06D5">
        <w:rPr>
          <w:rFonts w:ascii="Segoe UI" w:eastAsia="Times New Roman" w:hAnsi="Segoe UI" w:cs="Segoe UI"/>
          <w:i/>
          <w:iCs/>
          <w:color w:val="000000"/>
          <w:sz w:val="22"/>
          <w:lang w:eastAsia="es-CO"/>
        </w:rPr>
        <w:t> permite deducir del monto del impuesto sobre la renta, determinado conforme a las normas generales, el valor del impuesto cancelado por las rentas de fuente extranjera hasta un monto igual al impuesto liquidado”.</w:t>
      </w: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(Negrilla fuera de texto).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bookmarkStart w:id="0" w:name="_GoBack"/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Atentamente,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El Subdirector de Gestión Normativa y Doctrina,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Pedro Pablo Contreras Camargo.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8A06D5" w:rsidRPr="008A06D5" w:rsidRDefault="008A06D5" w:rsidP="008A06D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A06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>Publicado en D.O. 49.995 del 13 de septiembre de 2016.</w:t>
      </w:r>
    </w:p>
    <w:bookmarkEnd w:id="0"/>
    <w:p w:rsidR="00961BFA" w:rsidRDefault="00961BFA" w:rsidP="008A06D5"/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D5"/>
    <w:rsid w:val="0029351E"/>
    <w:rsid w:val="008A06D5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F6F04B-72F6-41FD-A77E-992FB014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29971" TargetMode="External"/><Relationship Id="rId13" Type="http://schemas.openxmlformats.org/officeDocument/2006/relationships/hyperlink" Target="http://www.ceta.org.co/html/vista_de_un_articulo.asp?Norma=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ta.org.co/html/vista_de_un_articulo.asp?Norma=983" TargetMode="External"/><Relationship Id="rId12" Type="http://schemas.openxmlformats.org/officeDocument/2006/relationships/hyperlink" Target="http://www.ceta.org.co/html/vista_de_un_articulo.asp?Norma=8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981" TargetMode="External"/><Relationship Id="rId11" Type="http://schemas.openxmlformats.org/officeDocument/2006/relationships/hyperlink" Target="http://www.ceta.org.co/html/vista_de_un_articulo.asp?Norma=29971" TargetMode="External"/><Relationship Id="rId5" Type="http://schemas.openxmlformats.org/officeDocument/2006/relationships/hyperlink" Target="http://www.ceta.org.co/html/vista_de_un_articulo.asp?Norma=88" TargetMode="External"/><Relationship Id="rId15" Type="http://schemas.openxmlformats.org/officeDocument/2006/relationships/hyperlink" Target="http://www.ceta.org.co/html/vista_de_un_articulo.asp?Norma=327" TargetMode="External"/><Relationship Id="rId10" Type="http://schemas.openxmlformats.org/officeDocument/2006/relationships/hyperlink" Target="http://www.ceta.org.co/html/vista_de_un_articulo.asp?Norma=983" TargetMode="External"/><Relationship Id="rId4" Type="http://schemas.openxmlformats.org/officeDocument/2006/relationships/hyperlink" Target="http://www.ceta.org.co/html/vista_de_un_articulo.asp?Norma=87" TargetMode="External"/><Relationship Id="rId9" Type="http://schemas.openxmlformats.org/officeDocument/2006/relationships/hyperlink" Target="http://www.ceta.org.co/html/vista_de_un_articulo.asp?Norma=981" TargetMode="External"/><Relationship Id="rId14" Type="http://schemas.openxmlformats.org/officeDocument/2006/relationships/hyperlink" Target="http://www.ceta.org.co/html/vista_de_un_articulo.asp?Norma=8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2016-09-24T01:07:00Z</dcterms:created>
  <dcterms:modified xsi:type="dcterms:W3CDTF">2016-09-24T01:08:00Z</dcterms:modified>
</cp:coreProperties>
</file>